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МОТОРСКАЯ СЕЛЬСКАЯ ДУМА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КИЛЬМЕЗСКОГО РАЙОНА КИРОВСКОЙ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 Е Ш Е Н И 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.2015     </w:t>
        <w:tab/>
        <w:tab/>
        <w:tab/>
        <w:tab/>
        <w:t xml:space="preserve">                                                                    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2/5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д.Надежда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местных нормативах градостроительного проектирования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Моторского сельского поселения Кильмезского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Кировской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Градостроительным кодексом Российской Федерации ,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Моторского сельского поселения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Моторская сельская Дума РЕШИЛА :</w:t>
      </w:r>
    </w:p>
    <w:p>
      <w:pPr>
        <w:numPr>
          <w:ilvl w:val="0"/>
          <w:numId w:val="6"/>
        </w:numPr>
        <w:spacing w:before="0" w:after="0" w:line="240"/>
        <w:ind w:right="0" w:left="177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местные нормативы градостроительного проектирования </w:t>
      </w:r>
    </w:p>
    <w:p>
      <w:pPr>
        <w:numPr>
          <w:ilvl w:val="0"/>
          <w:numId w:val="6"/>
        </w:numPr>
        <w:spacing w:before="0" w:after="0" w:line="240"/>
        <w:ind w:right="0" w:left="177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Моторского сельского поселения Кильмезского района Кировской области.</w:t>
      </w:r>
    </w:p>
    <w:p>
      <w:pPr>
        <w:numPr>
          <w:ilvl w:val="0"/>
          <w:numId w:val="6"/>
        </w:numPr>
        <w:spacing w:before="0" w:after="0" w:line="240"/>
        <w:ind w:right="0" w:left="177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Обнародовать настоящее решение путем вывешивания на информационных стендах  сельского поселения и разместить на официальном сайте Моторского  сельского поселения в сети Интернет.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поселения</w:t>
        <w:tab/>
        <w:tab/>
        <w:tab/>
        <w:t xml:space="preserve">                                              С.С.Гильмутдинов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Утверждено   решением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Моторской  сельской Думы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от 28.05.2015 № 2/5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МЕСТНЫЕ НОРМАТИВЫ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градостроительного проектирования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Моторского сельского поселения Кильмезского района Кировской области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Область применения</w:t>
      </w:r>
    </w:p>
    <w:p>
      <w:pPr>
        <w:numPr>
          <w:ilvl w:val="0"/>
          <w:numId w:val="15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Местные нормативы градостроительного проектирования Моторского сельского поселения Кильмезского  района Кировской области (далее – МНГП) подготовлены в соответствии с требованиями статей 29.2, 29.4 Градостроительного кодекса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Местные нормативы  градостроительного проектирования Моторского сельского поселения Кильмезского района Кировской области устанавливают: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Предельные значения расчетных показателей минимально допустимого уровня обеспеченности объектами местного значения, предусмотренными статьями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Закона области Закона Кировской области от 28.09.2008 № 44-ЗО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регулировании градостроительной деятельности в Кировской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населения соответствующего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обеспечения благоприятных условий жизнедеятельности человека местные нормативы градостроительного проектирования поселения содержат расчетные показатели и параметры развития, организации и использования территорий.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Расчетные нормативы, содержащиеся в основной части нормативов градостроительного проектирования применяются при подготовке документов территориального планирования,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часть. Расчетные показатели нормативов градостроительного    проектирования.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Расчетные     показатели    минимально   допустимого    уровня обеспеченности объектами  в области  транспорта и  расчетные показатели  максимально  допустимого  уровня  территориальной доступности таких объектов.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64" w:type="dxa"/>
      </w:tblPr>
      <w:tblGrid>
        <w:gridCol w:w="850"/>
        <w:gridCol w:w="2778"/>
        <w:gridCol w:w="3346"/>
        <w:gridCol w:w="2426"/>
      </w:tblGrid>
      <w:tr>
        <w:trPr>
          <w:trHeight w:val="851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 допустимый уровень доступности объектов</w:t>
            </w: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4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Объекты транспортного обслуживания местного значения</w:t>
            </w:r>
          </w:p>
        </w:tc>
      </w:tr>
      <w:tr>
        <w:trPr>
          <w:trHeight w:val="1" w:hRule="atLeast"/>
          <w:jc w:val="left"/>
        </w:trPr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0" w:hRule="auto"/>
          <w:jc w:val="left"/>
        </w:trPr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сельское поселение</w:t>
            </w:r>
          </w:p>
        </w:tc>
        <w:tc>
          <w:tcPr>
            <w:tcW w:w="3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нормируется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Расчетные     показатели    минимально      допустимого  уровня обеспеченности объектами  в  области образования и расчетные показатели  максимально  допустимого  уровня  территориальной доступности таких объектов.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Расчетные показатели минимально допустимого уровня обеспеченности объектами в области образования и расчетные показатели максимально  допустимого уровня территориальной доступности таких объектов следует принимать  в соответствии с таблицей 2.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Таблица 2 </w:t>
      </w:r>
    </w:p>
    <w:tbl>
      <w:tblPr>
        <w:tblInd w:w="64" w:type="dxa"/>
      </w:tblPr>
      <w:tblGrid>
        <w:gridCol w:w="600"/>
        <w:gridCol w:w="3300"/>
        <w:gridCol w:w="2800"/>
        <w:gridCol w:w="2700"/>
      </w:tblGrid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30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 допустимый уровень территориальной доступности объектов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400" w:type="dxa"/>
            <w:gridSpan w:val="4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Объекты в области образования местного значения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vMerge w:val="restart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4"/>
                <w:shd w:fill="auto" w:val="clear"/>
              </w:rPr>
              <w:t xml:space="preserve">Детские дошкольные организации,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4"/>
                <w:shd w:fill="auto" w:val="clear"/>
              </w:rPr>
              <w:t xml:space="preserve">мест на 1 тыс. жителей</w:t>
            </w:r>
          </w:p>
        </w:tc>
        <w:tc>
          <w:tcPr>
            <w:tcW w:w="2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5" w:hRule="auto"/>
          <w:jc w:val="left"/>
        </w:trPr>
        <w:tc>
          <w:tcPr>
            <w:tcW w:w="600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сельское поселение</w:t>
            </w:r>
          </w:p>
        </w:tc>
        <w:tc>
          <w:tcPr>
            <w:tcW w:w="2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  пешеходной 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 транспортной доступности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0" w:type="dxa"/>
            <w:vMerge w:val="restart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Общеобразовательные школы, мест на 1 тыс. жителей</w:t>
            </w:r>
          </w:p>
        </w:tc>
        <w:tc>
          <w:tcPr>
            <w:tcW w:w="2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45" w:hRule="auto"/>
          <w:jc w:val="left"/>
        </w:trPr>
        <w:tc>
          <w:tcPr>
            <w:tcW w:w="600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сельское поселение</w:t>
            </w:r>
          </w:p>
        </w:tc>
        <w:tc>
          <w:tcPr>
            <w:tcW w:w="280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 </w:t>
            </w:r>
          </w:p>
        </w:tc>
        <w:tc>
          <w:tcPr>
            <w:tcW w:w="270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учащихся I ступени обучения – 3 км  пешеходной и 10 км транспортной доступности;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учащихся II - III ступеней – 4 км пешеходной и 10 км  транспортной доступности*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расстояниях свыше указанных для обучающихся 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 согласно СанПиН 2.4.2.2821-10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организации обучения в общеобразовательных учреждениях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Примечания: 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Вместимость организаций в области образования и размеры их земельных участков следует принимать в соответствии с требованиями приложения Ж СП 42.13330.2011.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Размеры земельных участков организаций в области образования, не указанных в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приложении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"file:///C:/Documents%252520and%252520Settings/Елена/Мои%252520документы/Downloads/ПРОЕКТ%252520МНГП%252520Нолинск.docx"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Ж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 42.13330.2011, следует принимать по заданию на проектирование.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Участки детских дошкольных организаций не должны примыкать непосредственно к магистральным улицам.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Минимальные расчетные  показатели  для  объектов  в  иных областях  и  расчетные  показатели максимально допустимого уровня     территориальной     доступности     таких    объектов.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4</w:t>
      </w:r>
    </w:p>
    <w:tbl>
      <w:tblPr>
        <w:tblInd w:w="64" w:type="dxa"/>
      </w:tblPr>
      <w:tblGrid>
        <w:gridCol w:w="900"/>
        <w:gridCol w:w="3000"/>
        <w:gridCol w:w="3074"/>
        <w:gridCol w:w="2426"/>
      </w:tblGrid>
      <w:tr>
        <w:trPr>
          <w:trHeight w:val="1" w:hRule="atLeast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</w:t>
            </w:r>
          </w:p>
        </w:tc>
        <w:tc>
          <w:tcPr>
            <w:tcW w:w="3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 допустимый уровень доступности объектов</w:t>
            </w:r>
          </w:p>
        </w:tc>
      </w:tr>
      <w:tr>
        <w:trPr>
          <w:trHeight w:val="1" w:hRule="atLeast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4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Территории общего пользования рекреационного назначения местного значения</w:t>
            </w:r>
          </w:p>
        </w:tc>
      </w:tr>
      <w:tr>
        <w:trPr>
          <w:trHeight w:val="1" w:hRule="atLeast"/>
          <w:jc w:val="left"/>
        </w:trPr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Размер населенного пункта:</w:t>
            </w:r>
          </w:p>
        </w:tc>
        <w:tc>
          <w:tcPr>
            <w:tcW w:w="3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суммарная площадь озелененных территорий общего пользования, кв.м/человек 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5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Сельский населенный пункт</w:t>
            </w:r>
          </w:p>
        </w:tc>
        <w:tc>
          <w:tcPr>
            <w:tcW w:w="30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нормируется</w:t>
            </w:r>
          </w:p>
        </w:tc>
      </w:tr>
      <w:tr>
        <w:trPr>
          <w:trHeight w:val="1" w:hRule="atLeast"/>
          <w:jc w:val="left"/>
        </w:trPr>
        <w:tc>
          <w:tcPr>
            <w:tcW w:w="94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Объекты ритуальных услуг местного значения</w:t>
            </w:r>
          </w:p>
        </w:tc>
      </w:tr>
      <w:tr>
        <w:trPr>
          <w:trHeight w:val="1" w:hRule="atLeast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земельного участка 0,24 га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доступность не нормируется, удаленность в соответствии с санитарными правилами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Примечания: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В административных центрах поселений не допускается изменять в Правилах землепользования и застройки муниципальных образований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описания местоположения границ объектов землеустройства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границы территориальных зон рекреационного назначения определяются в соответствии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aps w:val="true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Размер земельного участка для кладбища определяется с учетом количества жителей  поселения, но не может превышать 40 га.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 приложением Ж СП 42.13330.2011 или заданием на проектирование таких объектов.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Материалы по обоснованию расчетных показателей, содержащихся в основной части нормативов градостроительного проектирования.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социально-демографического состава и плотности населения на территории поселения;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планов и программ комплексного социально-экономического развития поселения;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предложений органов местного самоуправления и заинтересованных лиц;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региональных нормативов градостроительного проектирования;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федерального законодательства, иных градостроительных показателей и норм.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Нормативы направлены на повышение благоприятных условий жизни населения поселения, устойчивое развитие его территории.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</w:p>
    <w:p>
      <w:pPr>
        <w:spacing w:before="0" w:after="0" w:line="240"/>
        <w:ind w:right="0" w:left="5220" w:hanging="45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Расчетные показатели минимально допустимого уровня обеспеченности объектами подготовлены в соответствии с: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Градостроительным кодексом Российской Федерации от 29.12.2004 № 190-ФЗ;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Земельным кодексом Российской Федерации от 25.10.2001 № 136-ФЗ;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законом от 29.12..2004 № 191-ФЗ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введении в действие Градостроительного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законом от 27.12.2002 № 184-ФЗ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техническом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регулировании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законом от 14.03.1995 № 33-ФЗ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особо охраняемых природных территориях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законом от 10.01.2002 № 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охране окружающей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Законом Российской Федерации от 10.12.1995 № 195-ФЗ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основах социального обслуживания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законом от 08.11.2007№ 257-ФЗ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автомобильных дорогах и о дорожной деятельности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Распоряжением Правительства Российской Федерации от 03.07.1996 №1063-р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социальных нормативах и нормах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Распоряжением Правительства Российской Федерации от 19.10.1999 №1683-р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методике определения нормативной потребности субъектов Российской Федерации в объектах социальной инфраструктуры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Постановлением Правительства Российской Федерации от 18.04.2014 №360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определении границ зон затопления, подтопления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СНиП 2.01.28-85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Полигоны по обезвреживанию и захоронению токсичных промышленных отходов. Основные положения по проектированию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 34.13330.2012. Свод правил. Автомобильные дороги;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СНиП 2.06.15-85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Инженерная защита территории от затопления и подтопления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 42.13330.2011. Свод правил. Градостроительство. Планировка и застройка городских и сельских поселений;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 118.13330.2012. Свод правил. Общественные здания и сооружения;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СНиП 11-04-2003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Инструкция о порядке разработки, согласования, экспертизы и утверждения градостроительной документации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применяется в части, не противоречащей Градостроительному кодексу Российской Федерации);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 113.13330.2012. Свод правил. Стоянки автомобилей;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 116.13330.2012. Свод правил. Инженерная защита территорий, зданий и сооружений от опасных геологических процессов;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 59.13330.2012. Свод правил. Доступность зданий и сооружений для маломобильных групп населения;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ГОСТ 17.5.3.01-78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Охрана природы. Земли. Состав и размер зеленых зон городов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ГОСТ 17.6.3.01-78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Охрана природы. Флора. Охрана и рациональное использование лесов зеленых зон городов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СанПиН 2.1.2.2645-10.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Санитарно-эпидемиологические требования к условиям проживания в жилых зданиях и помещениях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СанПиН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"consultantplus://offline/ref=FA97B543614E50AF0156E1D551E4613D1B9FB4739CD12BA6950FA9BFAA01734DB2AFF69CF1952EBCo8Y7N"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2.1.2882-11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Гигиенические требования к размещению, устройству и содержанию кладбищ, зданий и сооружений похоронного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СанПиН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"consultantplus://offline/ref=FA97B543614E50AF0156E1D551E4613D199ABD729BDC76AC9D56A5BDAD0E2C5AB5E6FA9DF1952FoBY9N"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2.2.1/2.1.1.1076-01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Гигиенические требования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СанПиН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"consultantplus://offline/ref=FA97B543614E50AF0156E1D551E4613D1B98BE7699D42BA6950FA9BFAA01734DB2AFF69CF1952EBCo8Y7N"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2.2.1/2.1.1.1200-03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СП 2.1.7.1038-01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Гигиенические требования к устройству и содержанию полигонов для твердых бытовых отходов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Законом Кировской области от 28.09.2006 № 44-ЗО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регулировании градостроительной деятельности в Кировской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FA97B543614E50AF0156E1D551E4613D1B9FB4739CD12BA6950FA9BFAA01734DB2AFF69CF1952EBCo8Y7N" Id="docRId1" Type="http://schemas.openxmlformats.org/officeDocument/2006/relationships/hyperlink"/><Relationship TargetMode="External" Target="consultantplus://offline/ref=FA97B543614E50AF0156E1D551E4613D1B98BE7699D42BA6950FA9BFAA01734DB2AFF69CF1952EBCo8Y7N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file://C:\Documents%252520and%252520Settings\&#1045;&#1083;&#1077;&#1085;&#1072;\&#1052;&#1086;&#1080;%252520&#1076;&#1086;&#1082;&#1091;&#1084;&#1077;&#1085;&#1090;&#1099;\Downloads\&#1055;&#1056;&#1054;&#1045;&#1050;&#1058;%252520&#1052;&#1053;&#1043;&#1055;%252520&#1053;&#1086;&#1083;&#1080;&#1085;&#1089;&#1082;.docx" Id="docRId0" Type="http://schemas.openxmlformats.org/officeDocument/2006/relationships/hyperlink"/><Relationship TargetMode="External" Target="consultantplus://offline/ref=FA97B543614E50AF0156E1D551E4613D199ABD729BDC76AC9D56A5BDAD0E2C5AB5E6FA9DF1952FoBY9N" Id="docRId2" Type="http://schemas.openxmlformats.org/officeDocument/2006/relationships/hyperlink"/><Relationship TargetMode="External" Target="consultantplus://offline/ref=FA97B543614E50AF0156E1D551E4613D199CBB759FDC76AC9D56A5BDAD0E2C5AB5E6FA9DF1952FoBYCN" Id="docRId4" Type="http://schemas.openxmlformats.org/officeDocument/2006/relationships/hyperlink"/><Relationship Target="styles.xml" Id="docRId6" Type="http://schemas.openxmlformats.org/officeDocument/2006/relationships/styles"/></Relationships>
</file>