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FD" w:rsidRDefault="00023DFD" w:rsidP="00023DFD">
      <w:pPr>
        <w:pStyle w:val="20"/>
        <w:keepNext/>
        <w:keepLines/>
        <w:spacing w:after="140"/>
      </w:pPr>
      <w:bookmarkStart w:id="0" w:name="bookmark2"/>
      <w:r>
        <w:rPr>
          <w:color w:val="000000"/>
          <w:sz w:val="24"/>
          <w:szCs w:val="24"/>
          <w:lang w:bidi="ru-RU"/>
        </w:rPr>
        <w:t>Списание долгов участников СВО и продление их кредитных каникул:</w:t>
      </w:r>
      <w:r>
        <w:rPr>
          <w:color w:val="000000"/>
          <w:sz w:val="24"/>
          <w:szCs w:val="24"/>
          <w:lang w:bidi="ru-RU"/>
        </w:rPr>
        <w:br/>
        <w:t>закон опубликован.</w:t>
      </w:r>
      <w:bookmarkEnd w:id="0"/>
    </w:p>
    <w:p w:rsidR="00023DFD" w:rsidRDefault="00023DFD" w:rsidP="00023DFD">
      <w:pPr>
        <w:pStyle w:val="1"/>
        <w:spacing w:after="140" w:line="305" w:lineRule="auto"/>
      </w:pPr>
      <w:r>
        <w:rPr>
          <w:color w:val="000000"/>
          <w:sz w:val="24"/>
          <w:szCs w:val="24"/>
          <w:lang w:bidi="ru-RU"/>
        </w:rPr>
        <w:t xml:space="preserve">Тем, кто не ранее 1 декабря 2024 года подпишет контракт для участия в СВО, и их супругам прекратят кредитные обязательства на сумму в совокупности не более 10 </w:t>
      </w:r>
      <w:proofErr w:type="spellStart"/>
      <w:proofErr w:type="gramStart"/>
      <w:r>
        <w:rPr>
          <w:color w:val="000000"/>
          <w:sz w:val="24"/>
          <w:szCs w:val="24"/>
          <w:lang w:bidi="ru-RU"/>
        </w:rPr>
        <w:t>млн</w:t>
      </w:r>
      <w:proofErr w:type="spellEnd"/>
      <w:proofErr w:type="gramEnd"/>
      <w:r>
        <w:rPr>
          <w:color w:val="000000"/>
          <w:sz w:val="24"/>
          <w:szCs w:val="24"/>
          <w:lang w:bidi="ru-RU"/>
        </w:rPr>
        <w:t xml:space="preserve"> руб. Это произойдет с даты заключения контракта, минимальный срок которого составляет год. Кроме того, до 1 декабря должно произойти хотя бы одно из событий:</w:t>
      </w:r>
    </w:p>
    <w:p w:rsidR="00023DFD" w:rsidRDefault="00023DFD" w:rsidP="00023DFD">
      <w:pPr>
        <w:pStyle w:val="1"/>
        <w:numPr>
          <w:ilvl w:val="0"/>
          <w:numId w:val="1"/>
        </w:numPr>
        <w:tabs>
          <w:tab w:val="left" w:pos="245"/>
        </w:tabs>
        <w:spacing w:after="140" w:line="307" w:lineRule="auto"/>
      </w:pPr>
      <w:r>
        <w:rPr>
          <w:color w:val="000000"/>
          <w:sz w:val="24"/>
          <w:szCs w:val="24"/>
          <w:lang w:bidi="ru-RU"/>
        </w:rPr>
        <w:t>вступил в силу судебный акт о взыскании долга по данным обязательствам;</w:t>
      </w:r>
    </w:p>
    <w:p w:rsidR="00023DFD" w:rsidRDefault="00023DFD" w:rsidP="00023DFD">
      <w:pPr>
        <w:pStyle w:val="1"/>
        <w:numPr>
          <w:ilvl w:val="0"/>
          <w:numId w:val="1"/>
        </w:numPr>
        <w:tabs>
          <w:tab w:val="left" w:pos="245"/>
        </w:tabs>
        <w:spacing w:after="140" w:line="307" w:lineRule="auto"/>
      </w:pPr>
      <w:r>
        <w:rPr>
          <w:color w:val="000000"/>
          <w:sz w:val="24"/>
          <w:szCs w:val="24"/>
          <w:lang w:bidi="ru-RU"/>
        </w:rPr>
        <w:t>из-за них кредитной организации выдали исполнительный документ;</w:t>
      </w:r>
    </w:p>
    <w:p w:rsidR="00023DFD" w:rsidRDefault="00023DFD" w:rsidP="00023DFD">
      <w:pPr>
        <w:pStyle w:val="1"/>
        <w:numPr>
          <w:ilvl w:val="0"/>
          <w:numId w:val="1"/>
        </w:numPr>
        <w:tabs>
          <w:tab w:val="left" w:pos="245"/>
        </w:tabs>
        <w:spacing w:after="140" w:line="307" w:lineRule="auto"/>
      </w:pPr>
      <w:r>
        <w:rPr>
          <w:color w:val="000000"/>
          <w:sz w:val="24"/>
          <w:szCs w:val="24"/>
          <w:lang w:bidi="ru-RU"/>
        </w:rPr>
        <w:t xml:space="preserve">по заявлению </w:t>
      </w:r>
      <w:proofErr w:type="gramStart"/>
      <w:r>
        <w:rPr>
          <w:color w:val="000000"/>
          <w:sz w:val="24"/>
          <w:szCs w:val="24"/>
          <w:lang w:bidi="ru-RU"/>
        </w:rPr>
        <w:t>такой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spellStart"/>
      <w:r>
        <w:rPr>
          <w:color w:val="000000"/>
          <w:sz w:val="24"/>
          <w:szCs w:val="24"/>
          <w:lang w:bidi="ru-RU"/>
        </w:rPr>
        <w:t>финкомпании</w:t>
      </w:r>
      <w:proofErr w:type="spellEnd"/>
      <w:r>
        <w:rPr>
          <w:color w:val="000000"/>
          <w:sz w:val="24"/>
          <w:szCs w:val="24"/>
          <w:lang w:bidi="ru-RU"/>
        </w:rPr>
        <w:t xml:space="preserve"> возбудили исполнительное производство.</w:t>
      </w:r>
    </w:p>
    <w:p w:rsidR="00023DFD" w:rsidRDefault="00023DFD" w:rsidP="00023DFD">
      <w:pPr>
        <w:pStyle w:val="1"/>
        <w:spacing w:after="140" w:line="310" w:lineRule="auto"/>
      </w:pPr>
      <w:r>
        <w:rPr>
          <w:color w:val="000000"/>
          <w:sz w:val="24"/>
          <w:szCs w:val="24"/>
          <w:lang w:bidi="ru-RU"/>
        </w:rPr>
        <w:t>Правило не касается курсантов военных образовательных организаций в ведении Минобороны.</w:t>
      </w:r>
    </w:p>
    <w:p w:rsidR="00023DFD" w:rsidRDefault="00023DFD" w:rsidP="00023DFD">
      <w:pPr>
        <w:pStyle w:val="1"/>
        <w:spacing w:after="140" w:line="307" w:lineRule="auto"/>
        <w:sectPr w:rsidR="00023DFD" w:rsidSect="00023DFD">
          <w:pgSz w:w="11900" w:h="16840"/>
          <w:pgMar w:top="1154" w:right="441" w:bottom="174" w:left="1715" w:header="0" w:footer="3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bidi="ru-RU"/>
        </w:rPr>
        <w:t>На 150 календарных дней продлят особые кредитные каникулы для многих военнослужащих и их семей. Таким образом, часть льготного периода, которую прибавляют к сроку мобилизации, контракта или участия в СВО, составит 180 календарных дней вместо 30.</w:t>
      </w:r>
    </w:p>
    <w:p w:rsidR="00023DFD" w:rsidRDefault="00023DFD" w:rsidP="00023DFD">
      <w:pPr>
        <w:pStyle w:val="20"/>
        <w:keepNext/>
        <w:keepLines/>
        <w:spacing w:after="160" w:line="283" w:lineRule="auto"/>
      </w:pPr>
      <w:bookmarkStart w:id="1" w:name="bookmark4"/>
      <w:r>
        <w:rPr>
          <w:color w:val="000000"/>
          <w:sz w:val="24"/>
          <w:szCs w:val="24"/>
          <w:lang w:bidi="ru-RU"/>
        </w:rPr>
        <w:lastRenderedPageBreak/>
        <w:t>Меры по противодействию экстремизму</w:t>
      </w:r>
      <w:bookmarkEnd w:id="1"/>
    </w:p>
    <w:p w:rsidR="00023DFD" w:rsidRDefault="00023DFD" w:rsidP="00023DFD">
      <w:pPr>
        <w:pStyle w:val="1"/>
        <w:spacing w:line="276" w:lineRule="auto"/>
        <w:jc w:val="both"/>
      </w:pPr>
      <w:r>
        <w:rPr>
          <w:color w:val="000000"/>
          <w:sz w:val="24"/>
          <w:szCs w:val="24"/>
          <w:lang w:bidi="ru-RU"/>
        </w:rPr>
        <w:t>Согласно п. 35 Стратегии противодействия экстремизму задачами государственной политики в сфере противодействия экстремизму являются:</w:t>
      </w:r>
    </w:p>
    <w:p w:rsidR="00023DFD" w:rsidRDefault="00023DFD" w:rsidP="00023DFD">
      <w:pPr>
        <w:pStyle w:val="1"/>
        <w:numPr>
          <w:ilvl w:val="0"/>
          <w:numId w:val="2"/>
        </w:numPr>
        <w:tabs>
          <w:tab w:val="left" w:pos="384"/>
        </w:tabs>
        <w:jc w:val="both"/>
      </w:pPr>
      <w:r>
        <w:rPr>
          <w:color w:val="000000"/>
          <w:sz w:val="24"/>
          <w:szCs w:val="24"/>
          <w:lang w:bidi="ru-RU"/>
        </w:rPr>
        <w:t xml:space="preserve">повышение эффективности государственной системы мониторинга в сфере противодействия экстремизму, представляющей собой мероприятия по сбору, анализу и оценке информации о развитии общественно-политических, социально- </w:t>
      </w:r>
      <w:proofErr w:type="gramStart"/>
      <w:r>
        <w:rPr>
          <w:color w:val="000000"/>
          <w:sz w:val="24"/>
          <w:szCs w:val="24"/>
          <w:lang w:bidi="ru-RU"/>
        </w:rPr>
        <w:t>экономических и иных процессов</w:t>
      </w:r>
      <w:proofErr w:type="gramEnd"/>
      <w:r>
        <w:rPr>
          <w:color w:val="000000"/>
          <w:sz w:val="24"/>
          <w:szCs w:val="24"/>
          <w:lang w:bidi="ru-RU"/>
        </w:rPr>
        <w:t>, создающих условия для возникновения проявлений экстремизма;</w:t>
      </w:r>
    </w:p>
    <w:p w:rsidR="00023DFD" w:rsidRDefault="00023DFD" w:rsidP="00023DFD">
      <w:pPr>
        <w:pStyle w:val="1"/>
        <w:numPr>
          <w:ilvl w:val="0"/>
          <w:numId w:val="2"/>
        </w:numPr>
        <w:tabs>
          <w:tab w:val="left" w:pos="384"/>
        </w:tabs>
        <w:jc w:val="both"/>
      </w:pPr>
      <w:r>
        <w:rPr>
          <w:color w:val="000000"/>
          <w:sz w:val="24"/>
          <w:szCs w:val="24"/>
          <w:lang w:bidi="ru-RU"/>
        </w:rPr>
        <w:t>совершенствование законодательства РФ и правоприменительной практики в сфере противодействия экстремизму;</w:t>
      </w:r>
    </w:p>
    <w:p w:rsidR="00023DFD" w:rsidRDefault="00023DFD" w:rsidP="00023DFD">
      <w:pPr>
        <w:pStyle w:val="1"/>
        <w:numPr>
          <w:ilvl w:val="0"/>
          <w:numId w:val="3"/>
        </w:numPr>
        <w:tabs>
          <w:tab w:val="left" w:pos="384"/>
        </w:tabs>
        <w:jc w:val="both"/>
      </w:pPr>
      <w:r>
        <w:rPr>
          <w:color w:val="000000"/>
          <w:sz w:val="24"/>
          <w:szCs w:val="24"/>
          <w:lang w:bidi="ru-RU"/>
        </w:rPr>
        <w:t xml:space="preserve">организация в средствах массовой информации и </w:t>
      </w:r>
      <w:proofErr w:type="spellStart"/>
      <w:r>
        <w:rPr>
          <w:color w:val="000000"/>
          <w:sz w:val="24"/>
          <w:szCs w:val="24"/>
          <w:lang w:bidi="ru-RU"/>
        </w:rPr>
        <w:t>информационно</w:t>
      </w:r>
      <w:r>
        <w:rPr>
          <w:color w:val="000000"/>
          <w:sz w:val="24"/>
          <w:szCs w:val="24"/>
          <w:lang w:bidi="ru-RU"/>
        </w:rPr>
        <w:softHyphen/>
        <w:t>телекоммуникационных</w:t>
      </w:r>
      <w:proofErr w:type="spellEnd"/>
      <w:r>
        <w:rPr>
          <w:color w:val="000000"/>
          <w:sz w:val="24"/>
          <w:szCs w:val="24"/>
          <w:lang w:bidi="ru-RU"/>
        </w:rPr>
        <w:t xml:space="preserve"> сетях, включая сеть Интернет,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023DFD" w:rsidRDefault="00023DFD" w:rsidP="00023DFD">
      <w:pPr>
        <w:pStyle w:val="1"/>
        <w:numPr>
          <w:ilvl w:val="0"/>
          <w:numId w:val="3"/>
        </w:numPr>
        <w:tabs>
          <w:tab w:val="left" w:pos="384"/>
        </w:tabs>
        <w:spacing w:line="288" w:lineRule="auto"/>
        <w:jc w:val="both"/>
      </w:pPr>
      <w:r>
        <w:rPr>
          <w:color w:val="000000"/>
          <w:sz w:val="24"/>
          <w:szCs w:val="24"/>
          <w:lang w:bidi="ru-RU"/>
        </w:rPr>
        <w:t>повышение эффективности профилактики, выявления и пресечения преступлений и административных правонарушений экстремистской направленности;</w:t>
      </w:r>
    </w:p>
    <w:p w:rsidR="00023DFD" w:rsidRDefault="00023DFD" w:rsidP="00023DFD">
      <w:pPr>
        <w:pStyle w:val="1"/>
        <w:numPr>
          <w:ilvl w:val="0"/>
          <w:numId w:val="3"/>
        </w:numPr>
        <w:tabs>
          <w:tab w:val="left" w:pos="384"/>
        </w:tabs>
        <w:spacing w:line="286" w:lineRule="auto"/>
        <w:jc w:val="both"/>
      </w:pPr>
      <w:r>
        <w:rPr>
          <w:color w:val="000000"/>
          <w:sz w:val="24"/>
          <w:szCs w:val="24"/>
          <w:lang w:bidi="ru-RU"/>
        </w:rPr>
        <w:t xml:space="preserve">организация основанного на традиционных российских духовно-нравственных ценностях информационного противодействия распространению </w:t>
      </w:r>
      <w:proofErr w:type="gramStart"/>
      <w:r>
        <w:rPr>
          <w:color w:val="000000"/>
          <w:sz w:val="24"/>
          <w:szCs w:val="24"/>
          <w:lang w:bidi="ru-RU"/>
        </w:rPr>
        <w:t>экстремистской</w:t>
      </w:r>
      <w:proofErr w:type="gramEnd"/>
      <w:r>
        <w:rPr>
          <w:color w:val="000000"/>
          <w:sz w:val="24"/>
          <w:szCs w:val="24"/>
          <w:lang w:bidi="ru-RU"/>
        </w:rPr>
        <w:t xml:space="preserve"> и иных деструктивных идеологий;</w:t>
      </w:r>
    </w:p>
    <w:p w:rsidR="00023DFD" w:rsidRDefault="00023DFD" w:rsidP="00023DFD">
      <w:pPr>
        <w:pStyle w:val="1"/>
        <w:numPr>
          <w:ilvl w:val="0"/>
          <w:numId w:val="3"/>
        </w:numPr>
        <w:tabs>
          <w:tab w:val="left" w:pos="384"/>
        </w:tabs>
        <w:jc w:val="both"/>
      </w:pPr>
      <w:r>
        <w:rPr>
          <w:color w:val="000000"/>
          <w:sz w:val="24"/>
          <w:szCs w:val="24"/>
          <w:lang w:bidi="ru-RU"/>
        </w:rPr>
        <w:t>повышение уровня патриотизма населения РФ.</w:t>
      </w:r>
    </w:p>
    <w:p w:rsidR="00023DFD" w:rsidRDefault="00023DFD" w:rsidP="00023DFD">
      <w:pPr>
        <w:pStyle w:val="1"/>
        <w:jc w:val="both"/>
      </w:pPr>
      <w:r>
        <w:rPr>
          <w:color w:val="000000"/>
          <w:sz w:val="24"/>
          <w:szCs w:val="24"/>
          <w:lang w:bidi="ru-RU"/>
        </w:rPr>
        <w:t>Согласно Федеральному закону от 06.10.2003 № 131-ФЗ «Об общих принципах организации местного самоуправления в Российской Федерации» к вопросам местного значения городского, сельского поселения относится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023DFD" w:rsidRDefault="00023DFD" w:rsidP="00023DFD">
      <w:pPr>
        <w:pStyle w:val="1"/>
        <w:jc w:val="both"/>
      </w:pPr>
      <w:r>
        <w:rPr>
          <w:color w:val="000000"/>
          <w:sz w:val="24"/>
          <w:szCs w:val="24"/>
          <w:lang w:bidi="ru-RU"/>
        </w:rPr>
        <w:t xml:space="preserve">Согласно ст. ст. 6, 7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 (в т.ч. органов прокуратуры, Минюста и др.). </w:t>
      </w:r>
      <w:proofErr w:type="gramStart"/>
      <w:r>
        <w:rPr>
          <w:color w:val="000000"/>
          <w:sz w:val="24"/>
          <w:szCs w:val="24"/>
          <w:lang w:bidi="ru-RU"/>
        </w:rPr>
        <w:t>Для организаций и общественных и религиозных объединений (при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ликвидированы, а деятельность объединений, не являющихся юридическими лицами, - запрещена по решению суда на основании заявления Генерального прокурора РФ или подчиненного ему соответствующего прокурора.</w:t>
      </w:r>
      <w:proofErr w:type="gramEnd"/>
    </w:p>
    <w:p w:rsidR="008446F9" w:rsidRDefault="008446F9"/>
    <w:sectPr w:rsidR="008446F9" w:rsidSect="001C6E76">
      <w:pgSz w:w="11900" w:h="16840"/>
      <w:pgMar w:top="1125" w:right="735" w:bottom="1125" w:left="173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3292"/>
    <w:multiLevelType w:val="multilevel"/>
    <w:tmpl w:val="8D78C98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6D4E4C"/>
    <w:multiLevelType w:val="multilevel"/>
    <w:tmpl w:val="09622F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FB0EB3"/>
    <w:multiLevelType w:val="multilevel"/>
    <w:tmpl w:val="11182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DFD"/>
    <w:rsid w:val="00023DFD"/>
    <w:rsid w:val="0084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3DFD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23DFD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023DFD"/>
    <w:pPr>
      <w:widowControl w:val="0"/>
      <w:spacing w:after="160" w:line="283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023DFD"/>
    <w:pPr>
      <w:widowControl w:val="0"/>
      <w:spacing w:after="150" w:line="305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2</cp:revision>
  <dcterms:created xsi:type="dcterms:W3CDTF">2025-01-27T14:25:00Z</dcterms:created>
  <dcterms:modified xsi:type="dcterms:W3CDTF">2025-01-27T14:25:00Z</dcterms:modified>
</cp:coreProperties>
</file>